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82" w:rsidRPr="00330782" w:rsidRDefault="00433C82" w:rsidP="00433C82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:rsidR="00433C82" w:rsidRPr="00330782" w:rsidRDefault="00433C82" w:rsidP="00433C82">
      <w:pPr>
        <w:jc w:val="center"/>
        <w:rPr>
          <w:sz w:val="4"/>
          <w:szCs w:val="4"/>
          <w:lang w:val="uk-UA"/>
        </w:rPr>
      </w:pPr>
    </w:p>
    <w:p w:rsidR="00433C82" w:rsidRPr="00330782" w:rsidRDefault="00433C82" w:rsidP="00433C82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:rsidR="00433C82" w:rsidRPr="00330782" w:rsidRDefault="00433C82" w:rsidP="00433C82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:rsidR="00433C82" w:rsidRPr="00330782" w:rsidRDefault="00433C82" w:rsidP="00433C82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:rsidR="00433C82" w:rsidRPr="00330782" w:rsidRDefault="00433C82" w:rsidP="00433C82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:rsidR="00433C82" w:rsidRPr="00330782" w:rsidRDefault="00433C82" w:rsidP="00433C82">
      <w:pPr>
        <w:rPr>
          <w:sz w:val="12"/>
          <w:szCs w:val="12"/>
          <w:lang w:val="uk-UA"/>
        </w:rPr>
      </w:pPr>
      <w:r w:rsidRPr="00A0455A">
        <w:rPr>
          <w:noProof/>
          <w:lang w:val="en-US" w:eastAsia="en-US"/>
        </w:rPr>
        <w:pict>
          <v:group id="_x0000_s1026" style="position:absolute;margin-left:-.1pt;margin-top:5.05pt;width:448.45pt;height:5.05pt;z-index:251658240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433C82" w:rsidRPr="000D2405" w:rsidRDefault="00433C82" w:rsidP="00433C82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u w:val="single"/>
          <w:lang w:val="uk-UA"/>
        </w:rPr>
        <w:t>« 25_»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u w:val="single"/>
          <w:lang w:val="uk-UA"/>
        </w:rPr>
        <w:t xml:space="preserve">        06      </w:t>
      </w:r>
      <w:r>
        <w:rPr>
          <w:sz w:val="24"/>
          <w:szCs w:val="24"/>
          <w:lang w:val="uk-UA"/>
        </w:rPr>
        <w:t xml:space="preserve">  2020    №  </w:t>
      </w:r>
      <w:r>
        <w:rPr>
          <w:sz w:val="24"/>
          <w:szCs w:val="24"/>
          <w:u w:val="single"/>
          <w:lang w:val="uk-UA"/>
        </w:rPr>
        <w:t xml:space="preserve">    1910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433C82" w:rsidRPr="00330782" w:rsidRDefault="00433C82" w:rsidP="00433C82">
      <w:pPr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 xml:space="preserve">                     </w:t>
      </w:r>
      <w:r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u w:val="single"/>
          <w:lang w:val="uk-UA"/>
        </w:rPr>
        <w:t xml:space="preserve">                </w:t>
      </w:r>
      <w:r>
        <w:rPr>
          <w:sz w:val="24"/>
          <w:szCs w:val="24"/>
          <w:lang w:val="uk-UA"/>
        </w:rPr>
        <w:t xml:space="preserve">скликання                      </w:t>
      </w:r>
      <w:r w:rsidRPr="00330782">
        <w:rPr>
          <w:sz w:val="24"/>
          <w:szCs w:val="24"/>
          <w:lang w:val="uk-UA"/>
        </w:rPr>
        <w:tab/>
      </w:r>
    </w:p>
    <w:p w:rsidR="00433C82" w:rsidRPr="00330782" w:rsidRDefault="00433C82" w:rsidP="00433C82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433C82" w:rsidRPr="00A50C86" w:rsidRDefault="00433C82" w:rsidP="00433C82">
      <w:pPr>
        <w:ind w:right="4677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надання пільги по сплаті земельного податку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 xml:space="preserve"> у 2020 році для земельних ділянок відведених під гаражне кооперативне будівництво</w:t>
      </w:r>
    </w:p>
    <w:p w:rsidR="00433C82" w:rsidRPr="00330782" w:rsidRDefault="00433C82" w:rsidP="00433C82">
      <w:pPr>
        <w:ind w:right="4315"/>
        <w:jc w:val="both"/>
        <w:rPr>
          <w:sz w:val="26"/>
          <w:szCs w:val="26"/>
          <w:lang w:val="uk-UA"/>
        </w:rPr>
      </w:pPr>
    </w:p>
    <w:p w:rsidR="00433C82" w:rsidRPr="007F007B" w:rsidRDefault="00433C82" w:rsidP="00433C82">
      <w:pPr>
        <w:ind w:firstLine="720"/>
        <w:jc w:val="both"/>
        <w:rPr>
          <w:sz w:val="10"/>
          <w:szCs w:val="10"/>
          <w:lang w:val="uk-UA"/>
        </w:rPr>
      </w:pPr>
      <w:r w:rsidRPr="000305B9">
        <w:rPr>
          <w:sz w:val="24"/>
          <w:szCs w:val="24"/>
          <w:lang w:val="uk-UA"/>
        </w:rPr>
        <w:t>Керуючись п. 24 ч.1 ст.26 Закону України «Про місцеве самоврядування в Україні», відповідно ст.</w:t>
      </w:r>
      <w:r>
        <w:rPr>
          <w:sz w:val="24"/>
          <w:szCs w:val="24"/>
          <w:lang w:val="uk-UA"/>
        </w:rPr>
        <w:t xml:space="preserve"> 284</w:t>
      </w:r>
      <w:r w:rsidRPr="000305B9">
        <w:rPr>
          <w:sz w:val="24"/>
          <w:szCs w:val="24"/>
          <w:lang w:val="uk-UA"/>
        </w:rPr>
        <w:t xml:space="preserve"> глави 1 розділу XIV Податкового кодексу України,  враховуючи постанову Кабінету </w:t>
      </w:r>
      <w:r>
        <w:rPr>
          <w:sz w:val="24"/>
          <w:szCs w:val="24"/>
          <w:lang w:val="uk-UA"/>
        </w:rPr>
        <w:t>Міністрів України від 24.05.</w:t>
      </w:r>
      <w:r w:rsidRPr="000305B9">
        <w:rPr>
          <w:sz w:val="24"/>
          <w:szCs w:val="24"/>
          <w:lang w:val="uk-UA"/>
        </w:rPr>
        <w:t xml:space="preserve">2017  №483 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ділянки», </w:t>
      </w:r>
      <w:r>
        <w:rPr>
          <w:sz w:val="24"/>
          <w:szCs w:val="24"/>
          <w:lang w:val="uk-UA"/>
        </w:rPr>
        <w:t xml:space="preserve">розглянувши колективне звернення голів  гаражних кооперативів міста </w:t>
      </w:r>
      <w:proofErr w:type="spellStart"/>
      <w:r>
        <w:rPr>
          <w:sz w:val="24"/>
          <w:szCs w:val="24"/>
          <w:lang w:val="uk-UA"/>
        </w:rPr>
        <w:t>Южноукраїнська</w:t>
      </w:r>
      <w:proofErr w:type="spellEnd"/>
      <w:r>
        <w:rPr>
          <w:sz w:val="24"/>
          <w:szCs w:val="24"/>
          <w:lang w:val="uk-UA"/>
        </w:rPr>
        <w:t xml:space="preserve">, що надійшло 22.11.2019 до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ради, </w:t>
      </w:r>
      <w:r w:rsidRPr="000305B9">
        <w:rPr>
          <w:sz w:val="24"/>
          <w:szCs w:val="24"/>
          <w:lang w:val="uk-UA"/>
        </w:rPr>
        <w:t>з метою</w:t>
      </w:r>
      <w:r w:rsidRPr="004451F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надання пільги</w:t>
      </w:r>
      <w:r w:rsidRPr="005E58A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по сплаті земельного податку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 xml:space="preserve"> на 2020 рік для земельних ділянок відведених під гаражне кооперативне будівництво на період проведення роботи щодо встановлення меж земельних ділянок, наданих у користування гаражним кооперативам</w:t>
      </w:r>
      <w:r w:rsidRPr="000305B9">
        <w:rPr>
          <w:sz w:val="24"/>
          <w:szCs w:val="24"/>
          <w:lang w:val="uk-UA"/>
        </w:rPr>
        <w:t>, міська рада</w:t>
      </w:r>
    </w:p>
    <w:p w:rsidR="00433C82" w:rsidRPr="000305B9" w:rsidRDefault="00433C82" w:rsidP="00433C82">
      <w:pPr>
        <w:ind w:right="-5"/>
        <w:jc w:val="center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>В И Р І Ш И Л А :</w:t>
      </w:r>
    </w:p>
    <w:p w:rsidR="00433C82" w:rsidRPr="007F007B" w:rsidRDefault="00433C82" w:rsidP="00433C82">
      <w:pPr>
        <w:ind w:right="-5"/>
        <w:jc w:val="center"/>
        <w:rPr>
          <w:sz w:val="10"/>
          <w:szCs w:val="10"/>
          <w:lang w:val="uk-UA"/>
        </w:rPr>
      </w:pPr>
    </w:p>
    <w:p w:rsidR="00433C82" w:rsidRPr="007F007B" w:rsidRDefault="00433C82" w:rsidP="00433C8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7F007B">
        <w:rPr>
          <w:sz w:val="24"/>
          <w:szCs w:val="24"/>
          <w:lang w:val="uk-UA"/>
        </w:rPr>
        <w:t xml:space="preserve">Надати пільгу по сплаті земельного податку в місті </w:t>
      </w:r>
      <w:proofErr w:type="spellStart"/>
      <w:r w:rsidRPr="007F007B">
        <w:rPr>
          <w:sz w:val="24"/>
          <w:szCs w:val="24"/>
          <w:lang w:val="uk-UA"/>
        </w:rPr>
        <w:t>Южноукраїнську</w:t>
      </w:r>
      <w:proofErr w:type="spellEnd"/>
      <w:r w:rsidRPr="007F007B">
        <w:rPr>
          <w:sz w:val="24"/>
          <w:szCs w:val="24"/>
          <w:lang w:val="uk-UA"/>
        </w:rPr>
        <w:t xml:space="preserve"> у 2020 році</w:t>
      </w:r>
      <w:r w:rsidRPr="00AB2EC0">
        <w:rPr>
          <w:sz w:val="24"/>
          <w:szCs w:val="24"/>
          <w:lang w:val="uk-UA"/>
        </w:rPr>
        <w:t xml:space="preserve"> </w:t>
      </w:r>
      <w:r w:rsidRPr="007F007B">
        <w:rPr>
          <w:sz w:val="24"/>
          <w:szCs w:val="24"/>
          <w:lang w:val="uk-UA"/>
        </w:rPr>
        <w:t xml:space="preserve">для земельних ділянок відведених під гаражне кооперативне будівництво, шляхом </w:t>
      </w:r>
      <w:r>
        <w:rPr>
          <w:sz w:val="24"/>
          <w:szCs w:val="24"/>
          <w:lang w:val="uk-UA"/>
        </w:rPr>
        <w:t xml:space="preserve">внесення доповнення до </w:t>
      </w:r>
      <w:r w:rsidRPr="007F007B">
        <w:rPr>
          <w:sz w:val="24"/>
          <w:szCs w:val="24"/>
          <w:lang w:val="uk-UA"/>
        </w:rPr>
        <w:t xml:space="preserve">додатку 2 </w:t>
      </w:r>
      <w:r>
        <w:rPr>
          <w:sz w:val="24"/>
          <w:szCs w:val="24"/>
          <w:lang w:val="uk-UA"/>
        </w:rPr>
        <w:t xml:space="preserve">до </w:t>
      </w:r>
      <w:r w:rsidRPr="007F007B">
        <w:rPr>
          <w:sz w:val="24"/>
          <w:szCs w:val="24"/>
          <w:lang w:val="uk-UA"/>
        </w:rPr>
        <w:t xml:space="preserve">рішення </w:t>
      </w:r>
      <w:proofErr w:type="spellStart"/>
      <w:r w:rsidRPr="007F007B">
        <w:rPr>
          <w:sz w:val="24"/>
          <w:szCs w:val="24"/>
          <w:lang w:val="uk-UA"/>
        </w:rPr>
        <w:t>Южноукраїнської</w:t>
      </w:r>
      <w:proofErr w:type="spellEnd"/>
      <w:r w:rsidRPr="007F007B">
        <w:rPr>
          <w:sz w:val="24"/>
          <w:szCs w:val="24"/>
          <w:lang w:val="uk-UA"/>
        </w:rPr>
        <w:t xml:space="preserve"> міської ради від 13.06.2019 № 1584 «Про встановлення на 2020 рік </w:t>
      </w:r>
      <w:r w:rsidRPr="007F007B">
        <w:rPr>
          <w:color w:val="000000"/>
          <w:sz w:val="24"/>
          <w:szCs w:val="24"/>
          <w:shd w:val="clear" w:color="auto" w:fill="FFFFFF"/>
          <w:lang w:val="uk-UA"/>
        </w:rPr>
        <w:t>ставок та пільг із сплати земельного податку</w:t>
      </w:r>
      <w:r w:rsidRPr="007F007B">
        <w:rPr>
          <w:sz w:val="24"/>
          <w:szCs w:val="24"/>
          <w:lang w:val="uk-UA"/>
        </w:rPr>
        <w:t xml:space="preserve"> в місті </w:t>
      </w:r>
      <w:proofErr w:type="spellStart"/>
      <w:r w:rsidRPr="007F007B">
        <w:rPr>
          <w:sz w:val="24"/>
          <w:szCs w:val="24"/>
          <w:lang w:val="uk-UA"/>
        </w:rPr>
        <w:t>Южноукраїнську</w:t>
      </w:r>
      <w:proofErr w:type="spellEnd"/>
      <w:r w:rsidRPr="007F007B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,</w:t>
      </w:r>
      <w:r w:rsidRPr="007F007B">
        <w:rPr>
          <w:sz w:val="24"/>
          <w:szCs w:val="24"/>
          <w:lang w:val="uk-UA"/>
        </w:rPr>
        <w:t xml:space="preserve"> а саме:  </w:t>
      </w:r>
      <w:r>
        <w:rPr>
          <w:sz w:val="24"/>
          <w:szCs w:val="24"/>
          <w:lang w:val="uk-UA"/>
        </w:rPr>
        <w:t xml:space="preserve">розділ 3 додатку 2 </w:t>
      </w:r>
      <w:r w:rsidRPr="007F007B">
        <w:rPr>
          <w:sz w:val="24"/>
          <w:szCs w:val="24"/>
          <w:lang w:val="uk-UA"/>
        </w:rPr>
        <w:t xml:space="preserve"> доповнити рядком 3.3</w:t>
      </w:r>
      <w:r>
        <w:rPr>
          <w:sz w:val="24"/>
          <w:szCs w:val="24"/>
          <w:lang w:val="uk-UA"/>
        </w:rPr>
        <w:t xml:space="preserve"> наступного змісту: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"/>
        <w:gridCol w:w="4275"/>
        <w:gridCol w:w="1842"/>
        <w:gridCol w:w="2127"/>
      </w:tblGrid>
      <w:tr w:rsidR="00433C82" w:rsidRPr="00A2174B" w:rsidTr="00716339">
        <w:tc>
          <w:tcPr>
            <w:tcW w:w="793" w:type="dxa"/>
          </w:tcPr>
          <w:p w:rsidR="00433C82" w:rsidRPr="000510F8" w:rsidRDefault="00433C82" w:rsidP="00716339">
            <w:pPr>
              <w:pStyle w:val="2"/>
              <w:spacing w:line="228" w:lineRule="auto"/>
              <w:rPr>
                <w:b w:val="0"/>
                <w:bCs w:val="0"/>
                <w:color w:val="000000"/>
                <w:spacing w:val="-4"/>
                <w:lang w:val="uk-UA"/>
              </w:rPr>
            </w:pPr>
            <w:r w:rsidRPr="000510F8">
              <w:rPr>
                <w:b w:val="0"/>
                <w:bCs w:val="0"/>
                <w:color w:val="000000"/>
                <w:spacing w:val="-4"/>
                <w:lang w:val="uk-UA"/>
              </w:rPr>
              <w:t>№ з/п</w:t>
            </w:r>
          </w:p>
        </w:tc>
        <w:tc>
          <w:tcPr>
            <w:tcW w:w="4275" w:type="dxa"/>
          </w:tcPr>
          <w:p w:rsidR="00433C82" w:rsidRPr="000510F8" w:rsidRDefault="00433C82" w:rsidP="00716339">
            <w:pPr>
              <w:pStyle w:val="2"/>
              <w:spacing w:line="228" w:lineRule="auto"/>
              <w:rPr>
                <w:b w:val="0"/>
              </w:rPr>
            </w:pPr>
            <w:proofErr w:type="spellStart"/>
            <w:r w:rsidRPr="000510F8">
              <w:rPr>
                <w:b w:val="0"/>
                <w:bCs w:val="0"/>
                <w:color w:val="000000"/>
                <w:spacing w:val="-4"/>
              </w:rPr>
              <w:t>Група</w:t>
            </w:r>
            <w:proofErr w:type="spellEnd"/>
            <w:r w:rsidRPr="000510F8">
              <w:rPr>
                <w:b w:val="0"/>
                <w:bCs w:val="0"/>
                <w:color w:val="000000"/>
                <w:spacing w:val="-4"/>
              </w:rPr>
              <w:t xml:space="preserve"> </w:t>
            </w:r>
            <w:proofErr w:type="spellStart"/>
            <w:r w:rsidRPr="000510F8">
              <w:rPr>
                <w:b w:val="0"/>
                <w:bCs w:val="0"/>
                <w:color w:val="000000"/>
                <w:spacing w:val="-4"/>
              </w:rPr>
              <w:t>платників</w:t>
            </w:r>
            <w:proofErr w:type="spellEnd"/>
          </w:p>
          <w:p w:rsidR="00433C82" w:rsidRPr="000510F8" w:rsidRDefault="00433C82" w:rsidP="0071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3C82" w:rsidRPr="000510F8" w:rsidRDefault="00433C82" w:rsidP="00716339">
            <w:pPr>
              <w:pStyle w:val="2"/>
              <w:spacing w:line="228" w:lineRule="auto"/>
              <w:ind w:left="-108" w:right="-108"/>
              <w:rPr>
                <w:b w:val="0"/>
                <w:bCs w:val="0"/>
                <w:color w:val="000000"/>
                <w:spacing w:val="-4"/>
              </w:rPr>
            </w:pPr>
            <w:r w:rsidRPr="000510F8">
              <w:rPr>
                <w:b w:val="0"/>
                <w:bCs w:val="0"/>
                <w:color w:val="000000"/>
                <w:spacing w:val="-4"/>
                <w:lang w:val="uk-UA"/>
              </w:rPr>
              <w:t>К</w:t>
            </w:r>
            <w:proofErr w:type="spellStart"/>
            <w:r w:rsidRPr="000510F8">
              <w:rPr>
                <w:b w:val="0"/>
                <w:bCs w:val="0"/>
                <w:color w:val="000000"/>
                <w:spacing w:val="-4"/>
              </w:rPr>
              <w:t>атегорія</w:t>
            </w:r>
            <w:proofErr w:type="spellEnd"/>
            <w:r w:rsidRPr="000510F8">
              <w:rPr>
                <w:b w:val="0"/>
                <w:bCs w:val="0"/>
                <w:color w:val="000000"/>
                <w:spacing w:val="-4"/>
              </w:rPr>
              <w:t>/</w:t>
            </w:r>
            <w:proofErr w:type="spellStart"/>
            <w:r w:rsidRPr="000510F8">
              <w:rPr>
                <w:b w:val="0"/>
                <w:bCs w:val="0"/>
                <w:color w:val="000000"/>
                <w:spacing w:val="-4"/>
              </w:rPr>
              <w:t>цільове</w:t>
            </w:r>
            <w:proofErr w:type="spellEnd"/>
            <w:r w:rsidRPr="000510F8">
              <w:rPr>
                <w:b w:val="0"/>
                <w:bCs w:val="0"/>
                <w:color w:val="000000"/>
                <w:spacing w:val="-4"/>
              </w:rPr>
              <w:t xml:space="preserve"> </w:t>
            </w:r>
            <w:proofErr w:type="spellStart"/>
            <w:r w:rsidRPr="000510F8">
              <w:rPr>
                <w:b w:val="0"/>
                <w:bCs w:val="0"/>
                <w:color w:val="000000"/>
                <w:spacing w:val="-4"/>
              </w:rPr>
              <w:t>призначення</w:t>
            </w:r>
            <w:proofErr w:type="spellEnd"/>
          </w:p>
          <w:p w:rsidR="00433C82" w:rsidRPr="000510F8" w:rsidRDefault="00433C82" w:rsidP="00716339">
            <w:pPr>
              <w:pStyle w:val="2"/>
              <w:spacing w:line="228" w:lineRule="auto"/>
              <w:ind w:left="-108" w:right="-108"/>
              <w:rPr>
                <w:b w:val="0"/>
                <w:bCs w:val="0"/>
                <w:color w:val="000000"/>
                <w:spacing w:val="-4"/>
              </w:rPr>
            </w:pPr>
            <w:proofErr w:type="spellStart"/>
            <w:r w:rsidRPr="000510F8">
              <w:rPr>
                <w:b w:val="0"/>
                <w:color w:val="000000"/>
                <w:spacing w:val="-4"/>
              </w:rPr>
              <w:t>земельних</w:t>
            </w:r>
            <w:proofErr w:type="spellEnd"/>
            <w:r w:rsidRPr="000510F8">
              <w:rPr>
                <w:b w:val="0"/>
                <w:color w:val="000000"/>
                <w:spacing w:val="-4"/>
              </w:rPr>
              <w:t xml:space="preserve"> </w:t>
            </w:r>
            <w:proofErr w:type="spellStart"/>
            <w:r w:rsidRPr="000510F8">
              <w:rPr>
                <w:b w:val="0"/>
                <w:color w:val="000000"/>
                <w:spacing w:val="-4"/>
              </w:rPr>
              <w:t>ділянок</w:t>
            </w:r>
            <w:proofErr w:type="spellEnd"/>
          </w:p>
        </w:tc>
        <w:tc>
          <w:tcPr>
            <w:tcW w:w="2127" w:type="dxa"/>
          </w:tcPr>
          <w:p w:rsidR="00433C82" w:rsidRPr="000510F8" w:rsidRDefault="00433C82" w:rsidP="00716339">
            <w:pPr>
              <w:pStyle w:val="2"/>
              <w:spacing w:line="228" w:lineRule="auto"/>
              <w:ind w:left="-108" w:right="-121"/>
              <w:rPr>
                <w:b w:val="0"/>
                <w:bCs w:val="0"/>
                <w:color w:val="000000"/>
                <w:spacing w:val="-4"/>
              </w:rPr>
            </w:pPr>
            <w:proofErr w:type="spellStart"/>
            <w:r w:rsidRPr="000510F8">
              <w:rPr>
                <w:b w:val="0"/>
                <w:bCs w:val="0"/>
                <w:color w:val="000000"/>
                <w:spacing w:val="-4"/>
              </w:rPr>
              <w:t>Розмі</w:t>
            </w:r>
            <w:proofErr w:type="gramStart"/>
            <w:r w:rsidRPr="000510F8">
              <w:rPr>
                <w:b w:val="0"/>
                <w:bCs w:val="0"/>
                <w:color w:val="000000"/>
                <w:spacing w:val="-4"/>
              </w:rPr>
              <w:t>р</w:t>
            </w:r>
            <w:proofErr w:type="spellEnd"/>
            <w:proofErr w:type="gramEnd"/>
            <w:r w:rsidRPr="000510F8">
              <w:rPr>
                <w:b w:val="0"/>
                <w:bCs w:val="0"/>
                <w:color w:val="000000"/>
                <w:spacing w:val="-4"/>
              </w:rPr>
              <w:t xml:space="preserve"> </w:t>
            </w:r>
            <w:proofErr w:type="spellStart"/>
            <w:r w:rsidRPr="000510F8">
              <w:rPr>
                <w:b w:val="0"/>
                <w:bCs w:val="0"/>
                <w:color w:val="000000"/>
                <w:spacing w:val="-4"/>
              </w:rPr>
              <w:t>пільги</w:t>
            </w:r>
            <w:proofErr w:type="spellEnd"/>
          </w:p>
          <w:p w:rsidR="00433C82" w:rsidRPr="00A2174B" w:rsidRDefault="00433C82" w:rsidP="00716339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A2174B">
              <w:rPr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A2174B">
              <w:rPr>
                <w:color w:val="000000"/>
                <w:sz w:val="24"/>
                <w:szCs w:val="24"/>
              </w:rPr>
              <w:t>відсотків</w:t>
            </w:r>
            <w:proofErr w:type="spellEnd"/>
            <w:r w:rsidRPr="00A217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174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2174B">
              <w:rPr>
                <w:color w:val="000000"/>
                <w:sz w:val="24"/>
                <w:szCs w:val="24"/>
              </w:rPr>
              <w:t>ід</w:t>
            </w:r>
            <w:proofErr w:type="spellEnd"/>
            <w:r w:rsidRPr="00A217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74B">
              <w:rPr>
                <w:color w:val="000000"/>
                <w:sz w:val="24"/>
                <w:szCs w:val="24"/>
              </w:rPr>
              <w:t>суми</w:t>
            </w:r>
            <w:proofErr w:type="spellEnd"/>
            <w:r w:rsidRPr="00A217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74B">
              <w:rPr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A217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74B">
              <w:rPr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A2174B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2174B">
              <w:rPr>
                <w:color w:val="000000"/>
                <w:sz w:val="24"/>
                <w:szCs w:val="24"/>
              </w:rPr>
              <w:t>рік</w:t>
            </w:r>
            <w:proofErr w:type="spellEnd"/>
            <w:r w:rsidRPr="00A2174B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</w:tr>
      <w:tr w:rsidR="00433C82" w:rsidRPr="00A2174B" w:rsidTr="00716339">
        <w:tc>
          <w:tcPr>
            <w:tcW w:w="793" w:type="dxa"/>
          </w:tcPr>
          <w:p w:rsidR="00433C82" w:rsidRPr="000510F8" w:rsidRDefault="00433C82" w:rsidP="00716339">
            <w:pPr>
              <w:pStyle w:val="2"/>
              <w:spacing w:line="228" w:lineRule="auto"/>
              <w:rPr>
                <w:b w:val="0"/>
                <w:bCs w:val="0"/>
                <w:color w:val="000000"/>
                <w:spacing w:val="-4"/>
                <w:lang w:val="uk-UA"/>
              </w:rPr>
            </w:pPr>
            <w:r>
              <w:rPr>
                <w:b w:val="0"/>
                <w:bCs w:val="0"/>
                <w:color w:val="000000"/>
                <w:spacing w:val="-4"/>
                <w:lang w:val="uk-UA"/>
              </w:rPr>
              <w:t>3.3</w:t>
            </w:r>
          </w:p>
        </w:tc>
        <w:tc>
          <w:tcPr>
            <w:tcW w:w="4275" w:type="dxa"/>
          </w:tcPr>
          <w:p w:rsidR="00433C82" w:rsidRPr="00C53ED9" w:rsidRDefault="00433C82" w:rsidP="0071633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Фізичні та юридичні особи, які використовують земельну ділянку д</w:t>
            </w:r>
            <w:r w:rsidRPr="0033433E">
              <w:rPr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33433E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33433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33E">
              <w:rPr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33433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33E">
              <w:rPr>
                <w:color w:val="000000"/>
                <w:sz w:val="24"/>
                <w:szCs w:val="24"/>
              </w:rPr>
              <w:t>гаражів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та д</w:t>
            </w:r>
            <w:r w:rsidRPr="0033433E">
              <w:rPr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33433E">
              <w:rPr>
                <w:color w:val="000000"/>
                <w:sz w:val="24"/>
                <w:szCs w:val="24"/>
              </w:rPr>
              <w:t>колективного</w:t>
            </w:r>
            <w:proofErr w:type="spellEnd"/>
            <w:r w:rsidRPr="0033433E">
              <w:rPr>
                <w:color w:val="000000"/>
                <w:sz w:val="24"/>
                <w:szCs w:val="24"/>
              </w:rPr>
              <w:t xml:space="preserve"> гаражного </w:t>
            </w:r>
            <w:proofErr w:type="spellStart"/>
            <w:r w:rsidRPr="0033433E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3343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33C82" w:rsidRPr="00D57BBB" w:rsidRDefault="00433C82" w:rsidP="007163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27" w:type="dxa"/>
          </w:tcPr>
          <w:p w:rsidR="00433C82" w:rsidRPr="007F007B" w:rsidRDefault="00433C82" w:rsidP="00716339">
            <w:pPr>
              <w:pStyle w:val="2"/>
              <w:spacing w:line="228" w:lineRule="auto"/>
              <w:ind w:left="-108" w:right="-121"/>
              <w:rPr>
                <w:b w:val="0"/>
                <w:bCs w:val="0"/>
                <w:color w:val="000000"/>
                <w:spacing w:val="-4"/>
                <w:lang w:val="uk-UA"/>
              </w:rPr>
            </w:pPr>
            <w:r>
              <w:rPr>
                <w:b w:val="0"/>
                <w:bCs w:val="0"/>
                <w:color w:val="000000"/>
                <w:spacing w:val="-4"/>
                <w:lang w:val="uk-UA"/>
              </w:rPr>
              <w:t>75,0%</w:t>
            </w:r>
          </w:p>
        </w:tc>
      </w:tr>
    </w:tbl>
    <w:p w:rsidR="00433C82" w:rsidRPr="007F007B" w:rsidRDefault="00433C82" w:rsidP="00433C82">
      <w:pPr>
        <w:pStyle w:val="3"/>
        <w:tabs>
          <w:tab w:val="num" w:pos="0"/>
          <w:tab w:val="left" w:pos="720"/>
        </w:tabs>
        <w:jc w:val="both"/>
        <w:rPr>
          <w:sz w:val="10"/>
          <w:szCs w:val="10"/>
          <w:lang w:val="uk-UA"/>
        </w:rPr>
      </w:pPr>
      <w:r w:rsidRPr="000305B9">
        <w:rPr>
          <w:sz w:val="24"/>
          <w:szCs w:val="24"/>
          <w:lang w:val="uk-UA"/>
        </w:rPr>
        <w:tab/>
      </w:r>
    </w:p>
    <w:p w:rsidR="00433C82" w:rsidRPr="000305B9" w:rsidRDefault="00433C82" w:rsidP="00433C82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</w:t>
      </w:r>
      <w:r w:rsidRPr="000305B9">
        <w:rPr>
          <w:sz w:val="24"/>
          <w:szCs w:val="24"/>
          <w:lang w:val="uk-UA"/>
        </w:rPr>
        <w:t xml:space="preserve">. Контроль за виконанням цього рішення покласти на постійну комісію міської ради з питань соціально-економічного і культурного розвитку, планування та обліку, підприємництва, бюджету, фінансів і цін (Курдасов), першого заступника міського голови з питань діяльності виконавчих органів ради Мустяцу Г.Ф. </w:t>
      </w:r>
    </w:p>
    <w:p w:rsidR="00433C82" w:rsidRPr="005E58AD" w:rsidRDefault="00433C82" w:rsidP="00433C82">
      <w:pPr>
        <w:ind w:right="-1"/>
        <w:jc w:val="both"/>
        <w:rPr>
          <w:sz w:val="22"/>
          <w:szCs w:val="22"/>
          <w:lang w:val="uk-UA"/>
        </w:rPr>
      </w:pPr>
    </w:p>
    <w:p w:rsidR="00433C82" w:rsidRPr="000305B9" w:rsidRDefault="00433C82" w:rsidP="00433C82">
      <w:pPr>
        <w:ind w:right="-1" w:firstLine="708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>Міський голова</w:t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  <w:t xml:space="preserve">В.К. </w:t>
      </w:r>
      <w:proofErr w:type="spellStart"/>
      <w:r w:rsidRPr="000305B9">
        <w:rPr>
          <w:sz w:val="24"/>
          <w:szCs w:val="24"/>
          <w:lang w:val="uk-UA"/>
        </w:rPr>
        <w:t>Пароконний</w:t>
      </w:r>
      <w:proofErr w:type="spellEnd"/>
    </w:p>
    <w:p w:rsidR="00433C82" w:rsidRPr="005E58AD" w:rsidRDefault="00433C82" w:rsidP="00433C82">
      <w:pPr>
        <w:ind w:right="-1"/>
        <w:jc w:val="both"/>
        <w:rPr>
          <w:sz w:val="18"/>
          <w:szCs w:val="18"/>
          <w:lang w:val="uk-UA"/>
        </w:rPr>
      </w:pPr>
      <w:r w:rsidRPr="005E58AD">
        <w:rPr>
          <w:sz w:val="18"/>
          <w:szCs w:val="18"/>
          <w:lang w:val="uk-UA"/>
        </w:rPr>
        <w:t>Петрик</w:t>
      </w:r>
    </w:p>
    <w:p w:rsidR="000D356B" w:rsidRDefault="00433C82" w:rsidP="00433C82">
      <w:pPr>
        <w:ind w:right="-1"/>
        <w:jc w:val="both"/>
      </w:pPr>
      <w:r w:rsidRPr="005E58AD">
        <w:rPr>
          <w:sz w:val="18"/>
          <w:szCs w:val="18"/>
          <w:lang w:val="uk-UA"/>
        </w:rPr>
        <w:t>2-11-24</w:t>
      </w:r>
    </w:p>
    <w:sectPr w:rsidR="000D356B" w:rsidSect="00433C82">
      <w:pgSz w:w="11906" w:h="16838"/>
      <w:pgMar w:top="1134" w:right="851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4A8D"/>
    <w:multiLevelType w:val="hybridMultilevel"/>
    <w:tmpl w:val="F5EAD12A"/>
    <w:lvl w:ilvl="0" w:tplc="E5F697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C82"/>
    <w:rsid w:val="000D356B"/>
    <w:rsid w:val="0043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3C82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33C82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3C82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33C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олбец 3"/>
    <w:uiPriority w:val="99"/>
    <w:rsid w:val="00433C8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33C82"/>
    <w:pPr>
      <w:overflowPunct/>
      <w:autoSpaceDE/>
      <w:autoSpaceDN/>
      <w:adjustRightInd/>
      <w:ind w:left="720"/>
      <w:textAlignment w:val="auto"/>
    </w:pPr>
  </w:style>
  <w:style w:type="paragraph" w:styleId="a4">
    <w:name w:val="Balloon Text"/>
    <w:basedOn w:val="a"/>
    <w:link w:val="a5"/>
    <w:uiPriority w:val="99"/>
    <w:semiHidden/>
    <w:unhideWhenUsed/>
    <w:rsid w:val="00433C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2020-07-01T07:34:00Z</dcterms:created>
  <dcterms:modified xsi:type="dcterms:W3CDTF">2020-07-01T07:39:00Z</dcterms:modified>
</cp:coreProperties>
</file>